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2C8D0" w14:textId="10880680" w:rsidR="00D12BCB" w:rsidRPr="00243170" w:rsidRDefault="00D12BCB" w:rsidP="00D12BCB">
      <w:pPr>
        <w:tabs>
          <w:tab w:val="left" w:pos="2127"/>
        </w:tabs>
        <w:spacing w:before="360"/>
        <w:ind w:left="2126" w:hanging="2126"/>
        <w:rPr>
          <w:rFonts w:cs="Arial"/>
          <w:b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Source:</w:t>
      </w:r>
      <w:r w:rsidRPr="00243170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Ericsson LM</w:t>
      </w:r>
      <w:r w:rsidR="005362A2">
        <w:rPr>
          <w:rStyle w:val="FootnoteReference"/>
          <w:rFonts w:cs="Arial"/>
          <w:b/>
          <w:sz w:val="24"/>
          <w:szCs w:val="24"/>
        </w:rPr>
        <w:footnoteReference w:id="1"/>
      </w:r>
    </w:p>
    <w:p w14:paraId="223E91D4" w14:textId="7E6DD87B" w:rsidR="00D12BCB" w:rsidRPr="00797EB0" w:rsidRDefault="00D12BCB" w:rsidP="00D12BCB">
      <w:pPr>
        <w:tabs>
          <w:tab w:val="left" w:pos="2127"/>
        </w:tabs>
        <w:ind w:left="2131" w:hanging="2131"/>
        <w:rPr>
          <w:rFonts w:cs="Arial"/>
          <w:b/>
          <w:color w:val="000000"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Title:</w:t>
      </w:r>
      <w:r w:rsidRPr="00243170">
        <w:rPr>
          <w:rFonts w:cs="Arial"/>
          <w:b/>
          <w:sz w:val="24"/>
          <w:szCs w:val="24"/>
        </w:rPr>
        <w:tab/>
      </w:r>
      <w:r w:rsidRPr="00C17D68">
        <w:rPr>
          <w:rFonts w:cs="Arial"/>
          <w:b/>
          <w:sz w:val="24"/>
          <w:szCs w:val="24"/>
        </w:rPr>
        <w:t xml:space="preserve">Discussion on </w:t>
      </w:r>
      <w:r w:rsidR="005362A2">
        <w:rPr>
          <w:rFonts w:cs="Arial"/>
          <w:b/>
          <w:sz w:val="24"/>
          <w:szCs w:val="24"/>
        </w:rPr>
        <w:t>MTSI Rate Adaptation in 5G</w:t>
      </w:r>
    </w:p>
    <w:p w14:paraId="556D49AE" w14:textId="05F50F4C" w:rsidR="00D12BCB" w:rsidRPr="00393187" w:rsidRDefault="00D12BCB" w:rsidP="00D12BCB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 w:rsidRPr="00393187">
        <w:rPr>
          <w:rFonts w:cs="Arial"/>
          <w:b/>
          <w:sz w:val="24"/>
          <w:szCs w:val="24"/>
        </w:rPr>
        <w:t>Document for:</w:t>
      </w:r>
      <w:r w:rsidRPr="00393187">
        <w:rPr>
          <w:rFonts w:cs="Arial"/>
          <w:b/>
          <w:sz w:val="24"/>
          <w:szCs w:val="24"/>
        </w:rPr>
        <w:tab/>
        <w:t>Discussion</w:t>
      </w:r>
      <w:r>
        <w:rPr>
          <w:rFonts w:cs="Arial"/>
          <w:b/>
          <w:sz w:val="24"/>
          <w:szCs w:val="24"/>
        </w:rPr>
        <w:t xml:space="preserve"> and </w:t>
      </w:r>
      <w:r w:rsidR="005362A2">
        <w:rPr>
          <w:rFonts w:cs="Arial"/>
          <w:b/>
          <w:sz w:val="24"/>
          <w:szCs w:val="24"/>
        </w:rPr>
        <w:t>Agreement</w:t>
      </w:r>
    </w:p>
    <w:p w14:paraId="5CB085FB" w14:textId="77777777" w:rsidR="00D12BCB" w:rsidRPr="00393187" w:rsidRDefault="003B1D16" w:rsidP="00D12BCB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ab/>
        <w:t>10.8</w:t>
      </w:r>
    </w:p>
    <w:p w14:paraId="7B10CBFE" w14:textId="77777777" w:rsidR="00D12BCB" w:rsidRPr="00243170" w:rsidRDefault="00D12BCB" w:rsidP="00D12BCB">
      <w:pPr>
        <w:pBdr>
          <w:top w:val="single" w:sz="12" w:space="1" w:color="auto"/>
        </w:pBdr>
        <w:spacing w:after="0"/>
        <w:rPr>
          <w:sz w:val="20"/>
        </w:rPr>
      </w:pPr>
    </w:p>
    <w:p w14:paraId="4E6EB8FF" w14:textId="77777777" w:rsidR="00D12BCB" w:rsidRPr="00214940" w:rsidRDefault="00D12BCB" w:rsidP="00D12BCB">
      <w:pPr>
        <w:pStyle w:val="Heading1"/>
      </w:pPr>
      <w:r w:rsidRPr="00214940">
        <w:t>1 Introduction</w:t>
      </w:r>
    </w:p>
    <w:p w14:paraId="08BBF3DE" w14:textId="4014533E" w:rsidR="00D12BCB" w:rsidRDefault="005362A2" w:rsidP="00D12BCB">
      <w:pPr>
        <w:rPr>
          <w:rFonts w:eastAsia="Batang"/>
          <w:lang w:val="en-US"/>
        </w:rPr>
      </w:pPr>
      <w:r>
        <w:rPr>
          <w:rFonts w:eastAsia="Batang"/>
          <w:lang w:eastAsia="ja-JP"/>
        </w:rPr>
        <w:t xml:space="preserve">At 3GPP SA4#96, the source presented a </w:t>
      </w:r>
      <w:proofErr w:type="spellStart"/>
      <w:r>
        <w:rPr>
          <w:rFonts w:eastAsia="Batang"/>
          <w:lang w:eastAsia="ja-JP"/>
        </w:rPr>
        <w:t>pCR</w:t>
      </w:r>
      <w:proofErr w:type="spellEnd"/>
      <w:r>
        <w:rPr>
          <w:rFonts w:eastAsia="Batang"/>
          <w:lang w:eastAsia="ja-JP"/>
        </w:rPr>
        <w:t xml:space="preserve"> to TR 26.919 [1] on mandating support for rate adaptation in 5G MTSI, </w:t>
      </w:r>
      <w:r w:rsidR="007D2F4E">
        <w:rPr>
          <w:rFonts w:eastAsia="Batang"/>
          <w:lang w:eastAsia="ja-JP"/>
        </w:rPr>
        <w:t>motivated by the large diversity of</w:t>
      </w:r>
      <w:r w:rsidR="00705A98">
        <w:rPr>
          <w:rFonts w:eastAsia="Batang"/>
          <w:lang w:eastAsia="ja-JP"/>
        </w:rPr>
        <w:t xml:space="preserve"> 5G device types, the large variation of contexts in which they should be possible to use, and the assumption that MTSI should be possible to use seamlessly between all of those. </w:t>
      </w:r>
      <w:r>
        <w:rPr>
          <w:rFonts w:eastAsia="Batang"/>
          <w:lang w:eastAsia="ja-JP"/>
        </w:rPr>
        <w:t>This was not agreed, the main concern being that the proposal needed some detailing</w:t>
      </w:r>
      <w:r w:rsidR="00D12BCB">
        <w:rPr>
          <w:rFonts w:eastAsia="Batang"/>
          <w:lang w:eastAsia="ja-JP"/>
        </w:rPr>
        <w:t>.</w:t>
      </w:r>
      <w:r>
        <w:rPr>
          <w:rFonts w:eastAsia="Batang"/>
          <w:lang w:eastAsia="ja-JP"/>
        </w:rPr>
        <w:t xml:space="preserve"> This document</w:t>
      </w:r>
      <w:r w:rsidR="00705A98">
        <w:rPr>
          <w:rFonts w:eastAsia="Batang"/>
          <w:lang w:eastAsia="ja-JP"/>
        </w:rPr>
        <w:t xml:space="preserve"> sets out to provide that.</w:t>
      </w:r>
    </w:p>
    <w:p w14:paraId="2D874E56" w14:textId="77777777" w:rsidR="00D12BCB" w:rsidRDefault="00D12BCB" w:rsidP="00D12BCB">
      <w:pPr>
        <w:pStyle w:val="Heading1"/>
      </w:pPr>
      <w:r>
        <w:t>2 Discussion</w:t>
      </w:r>
    </w:p>
    <w:p w14:paraId="666691CC" w14:textId="35546943" w:rsidR="00187EE6" w:rsidRDefault="00025E69" w:rsidP="00D12BC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>General requirements on 5G are provided in Clauses 6 and 7 of TS 22.261 [2]</w:t>
      </w:r>
      <w:r w:rsidR="000B7A2D">
        <w:rPr>
          <w:rFonts w:eastAsia="Batang"/>
          <w:lang w:eastAsia="ja-JP"/>
        </w:rPr>
        <w:t xml:space="preserve">, as detailed in the previous </w:t>
      </w:r>
      <w:proofErr w:type="spellStart"/>
      <w:r w:rsidR="000B7A2D">
        <w:rPr>
          <w:rFonts w:eastAsia="Batang"/>
          <w:lang w:eastAsia="ja-JP"/>
        </w:rPr>
        <w:t>pCR</w:t>
      </w:r>
      <w:proofErr w:type="spellEnd"/>
      <w:r w:rsidR="000B7A2D">
        <w:rPr>
          <w:rFonts w:eastAsia="Batang"/>
          <w:lang w:eastAsia="ja-JP"/>
        </w:rPr>
        <w:t xml:space="preserve"> [1]</w:t>
      </w:r>
      <w:r w:rsidR="00B31A8C">
        <w:rPr>
          <w:rFonts w:eastAsia="Batang"/>
          <w:lang w:eastAsia="ja-JP"/>
        </w:rPr>
        <w:t>.</w:t>
      </w:r>
      <w:r w:rsidR="000B7A2D">
        <w:rPr>
          <w:rFonts w:eastAsia="Batang"/>
          <w:lang w:eastAsia="ja-JP"/>
        </w:rPr>
        <w:t xml:space="preserve"> Those requirements suggest that there will be a large variation in what bitrate is feasible to use at any given point in time:</w:t>
      </w:r>
    </w:p>
    <w:p w14:paraId="64B99EAF" w14:textId="42D77BD6" w:rsidR="000B7A2D" w:rsidRDefault="000B7A2D" w:rsidP="000B7A2D">
      <w:pPr>
        <w:pStyle w:val="ListParagraph"/>
        <w:numPr>
          <w:ilvl w:val="0"/>
          <w:numId w:val="1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Device capability; </w:t>
      </w:r>
      <w:r w:rsidR="00262C99">
        <w:rPr>
          <w:rFonts w:eastAsia="Batang"/>
          <w:lang w:eastAsia="ja-JP"/>
        </w:rPr>
        <w:t>from high-end devices to minimum-capability environments</w:t>
      </w:r>
    </w:p>
    <w:p w14:paraId="5FB6A884" w14:textId="50400233" w:rsidR="00262C99" w:rsidRDefault="00262C99" w:rsidP="000B7A2D">
      <w:pPr>
        <w:pStyle w:val="ListParagraph"/>
        <w:numPr>
          <w:ilvl w:val="0"/>
          <w:numId w:val="1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Network capacity; from high capacity hotspots to extreme long-range coverage</w:t>
      </w:r>
    </w:p>
    <w:p w14:paraId="42A14C39" w14:textId="26F1F46F" w:rsidR="00262C99" w:rsidRPr="000B7A2D" w:rsidRDefault="00262C99" w:rsidP="000B7A2D">
      <w:pPr>
        <w:pStyle w:val="ListParagraph"/>
        <w:numPr>
          <w:ilvl w:val="0"/>
          <w:numId w:val="1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When other aspects than bitrate are more important; extremely low latency or high reliability may only be possible to achieve when (possibly dynamically) trading off high bitrate</w:t>
      </w:r>
    </w:p>
    <w:p w14:paraId="0E6EDFDC" w14:textId="0FDA2D98" w:rsidR="002C5636" w:rsidRDefault="002C5636" w:rsidP="00D12BC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>If 5G MTSI should be possible to use:</w:t>
      </w:r>
    </w:p>
    <w:p w14:paraId="652B5D6A" w14:textId="27AB6978" w:rsidR="002C5636" w:rsidRDefault="002C5636" w:rsidP="002C5636">
      <w:pPr>
        <w:pStyle w:val="ListParagraph"/>
        <w:numPr>
          <w:ilvl w:val="0"/>
          <w:numId w:val="2"/>
        </w:numPr>
        <w:rPr>
          <w:rFonts w:eastAsia="Batang"/>
          <w:lang w:eastAsia="ja-JP"/>
        </w:rPr>
      </w:pPr>
      <w:r w:rsidRPr="002C5636">
        <w:rPr>
          <w:rFonts w:eastAsia="Batang"/>
          <w:lang w:eastAsia="ja-JP"/>
        </w:rPr>
        <w:t xml:space="preserve">in </w:t>
      </w:r>
      <w:r w:rsidR="00262C99">
        <w:rPr>
          <w:rFonts w:eastAsia="Batang"/>
          <w:lang w:eastAsia="ja-JP"/>
        </w:rPr>
        <w:t xml:space="preserve">and between </w:t>
      </w:r>
      <w:r w:rsidRPr="002C5636">
        <w:rPr>
          <w:rFonts w:eastAsia="Batang"/>
          <w:lang w:eastAsia="ja-JP"/>
        </w:rPr>
        <w:t>all those 5G environments</w:t>
      </w:r>
      <w:r>
        <w:rPr>
          <w:rFonts w:eastAsia="Batang"/>
          <w:lang w:eastAsia="ja-JP"/>
        </w:rPr>
        <w:t>,</w:t>
      </w:r>
    </w:p>
    <w:p w14:paraId="2A50A040" w14:textId="5F510E97" w:rsidR="002C5636" w:rsidRDefault="00262C99" w:rsidP="002C5636">
      <w:pPr>
        <w:pStyle w:val="ListParagraph"/>
        <w:numPr>
          <w:ilvl w:val="0"/>
          <w:numId w:val="2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in and </w:t>
      </w:r>
      <w:r w:rsidR="002C5636" w:rsidRPr="002C5636">
        <w:rPr>
          <w:rFonts w:eastAsia="Batang"/>
          <w:lang w:eastAsia="ja-JP"/>
        </w:rPr>
        <w:t xml:space="preserve">between all those 5G devices, </w:t>
      </w:r>
      <w:r w:rsidR="002C5636">
        <w:rPr>
          <w:rFonts w:eastAsia="Batang"/>
          <w:lang w:eastAsia="ja-JP"/>
        </w:rPr>
        <w:t>and</w:t>
      </w:r>
    </w:p>
    <w:p w14:paraId="758F3D9C" w14:textId="0DEBCE70" w:rsidR="000B7A2D" w:rsidRDefault="002C5636" w:rsidP="002C5636">
      <w:pPr>
        <w:pStyle w:val="ListParagraph"/>
        <w:numPr>
          <w:ilvl w:val="0"/>
          <w:numId w:val="2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avoiding media transcoding </w:t>
      </w:r>
      <w:r w:rsidR="00262C99">
        <w:rPr>
          <w:rFonts w:eastAsia="Batang"/>
          <w:lang w:eastAsia="ja-JP"/>
        </w:rPr>
        <w:t xml:space="preserve">(can </w:t>
      </w:r>
      <w:r w:rsidR="00424B92">
        <w:rPr>
          <w:rFonts w:eastAsia="Batang"/>
          <w:lang w:eastAsia="ja-JP"/>
        </w:rPr>
        <w:t xml:space="preserve">otherwise </w:t>
      </w:r>
      <w:r w:rsidR="00262C99">
        <w:rPr>
          <w:rFonts w:eastAsia="Batang"/>
          <w:lang w:eastAsia="ja-JP"/>
        </w:rPr>
        <w:t xml:space="preserve">be used to uncouple bitrate needs between UEs participating in a communication) </w:t>
      </w:r>
      <w:r>
        <w:rPr>
          <w:rFonts w:eastAsia="Batang"/>
          <w:lang w:eastAsia="ja-JP"/>
        </w:rPr>
        <w:t>to the largest extent possible</w:t>
      </w:r>
      <w:r w:rsidR="00262C99">
        <w:rPr>
          <w:rFonts w:eastAsia="Batang"/>
          <w:lang w:eastAsia="ja-JP"/>
        </w:rPr>
        <w:t>,</w:t>
      </w:r>
      <w:r>
        <w:rPr>
          <w:rFonts w:eastAsia="Batang"/>
          <w:lang w:eastAsia="ja-JP"/>
        </w:rPr>
        <w:t xml:space="preserve"> since that would impact both capacity, delay, and media quality negatively, all of which could be </w:t>
      </w:r>
      <w:r w:rsidR="00262C99">
        <w:rPr>
          <w:rFonts w:eastAsia="Batang"/>
          <w:lang w:eastAsia="ja-JP"/>
        </w:rPr>
        <w:t xml:space="preserve">detrimental </w:t>
      </w:r>
      <w:r>
        <w:rPr>
          <w:rFonts w:eastAsia="Batang"/>
          <w:lang w:eastAsia="ja-JP"/>
        </w:rPr>
        <w:t xml:space="preserve">to </w:t>
      </w:r>
      <w:r w:rsidR="00856182">
        <w:rPr>
          <w:rFonts w:eastAsia="Batang"/>
          <w:lang w:eastAsia="ja-JP"/>
        </w:rPr>
        <w:t>one or the other 5G use case requirement</w:t>
      </w:r>
      <w:r w:rsidR="00262C99">
        <w:rPr>
          <w:rFonts w:eastAsia="Batang"/>
          <w:lang w:eastAsia="ja-JP"/>
        </w:rPr>
        <w:t xml:space="preserve"> </w:t>
      </w:r>
    </w:p>
    <w:p w14:paraId="76E14E71" w14:textId="022FEFF9" w:rsidR="002C5636" w:rsidRPr="002C5636" w:rsidRDefault="00424B92" w:rsidP="002C5636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It is expected that each device, context, and user case could have very specific </w:t>
      </w:r>
      <w:r w:rsidR="00E2108F">
        <w:rPr>
          <w:rFonts w:eastAsia="Batang"/>
          <w:lang w:eastAsia="ja-JP"/>
        </w:rPr>
        <w:t xml:space="preserve">and detailed </w:t>
      </w:r>
      <w:r>
        <w:rPr>
          <w:rFonts w:eastAsia="Batang"/>
          <w:lang w:eastAsia="ja-JP"/>
        </w:rPr>
        <w:t>requirements on such bitrate adaptation</w:t>
      </w:r>
      <w:r w:rsidR="00E2108F">
        <w:rPr>
          <w:rFonts w:eastAsia="Batang"/>
          <w:lang w:eastAsia="ja-JP"/>
        </w:rPr>
        <w:t xml:space="preserve"> to achieve the best performance in that specific “domain”</w:t>
      </w:r>
      <w:r>
        <w:rPr>
          <w:rFonts w:eastAsia="Batang"/>
          <w:lang w:eastAsia="ja-JP"/>
        </w:rPr>
        <w:t>. It is also expected that it is not reasonable</w:t>
      </w:r>
      <w:r w:rsidR="00E2108F">
        <w:rPr>
          <w:rFonts w:eastAsia="Batang"/>
          <w:lang w:eastAsia="ja-JP"/>
        </w:rPr>
        <w:t xml:space="preserve"> to let the “domain” with the most stringent bitrate adaptation performance control what is required from all the other “domains”. Therefore, it seems reasonable and sufficient to specify a minimum-performance, but mandatory, adaptation that would apply for all “domains” as well as for “cross-domain” calls.</w:t>
      </w:r>
      <w:r w:rsidR="00E30328">
        <w:rPr>
          <w:rFonts w:eastAsia="Batang"/>
          <w:lang w:eastAsia="ja-JP"/>
        </w:rPr>
        <w:t xml:space="preserve"> What level of performance that should be targeted is unknown and would require further study.</w:t>
      </w:r>
    </w:p>
    <w:p w14:paraId="07F43A4C" w14:textId="77777777" w:rsidR="00D12BCB" w:rsidRDefault="00D12BCB" w:rsidP="00D12BCB">
      <w:pPr>
        <w:pStyle w:val="Heading1"/>
      </w:pPr>
      <w:r>
        <w:t xml:space="preserve">3 </w:t>
      </w:r>
      <w:r w:rsidRPr="002D6D59">
        <w:t>Proposal</w:t>
      </w:r>
    </w:p>
    <w:p w14:paraId="61EDEC38" w14:textId="53C39107" w:rsidR="005362A2" w:rsidRDefault="005362A2" w:rsidP="005362A2">
      <w:pPr>
        <w:rPr>
          <w:lang w:val="en-US" w:eastAsia="ja-JP"/>
        </w:rPr>
      </w:pPr>
      <w:r>
        <w:rPr>
          <w:lang w:val="en-US" w:eastAsia="ja-JP"/>
        </w:rPr>
        <w:t xml:space="preserve">It is proposed to </w:t>
      </w:r>
      <w:r w:rsidR="007655F5">
        <w:rPr>
          <w:lang w:val="en-US" w:eastAsia="ja-JP"/>
        </w:rPr>
        <w:t>amend</w:t>
      </w:r>
      <w:r w:rsidR="008925E5">
        <w:rPr>
          <w:lang w:val="en-US" w:eastAsia="ja-JP"/>
        </w:rPr>
        <w:t xml:space="preserve"> the </w:t>
      </w:r>
      <w:r w:rsidR="007655F5">
        <w:rPr>
          <w:lang w:val="en-US" w:eastAsia="ja-JP"/>
        </w:rPr>
        <w:t xml:space="preserve">text in the </w:t>
      </w:r>
      <w:r w:rsidR="008925E5">
        <w:rPr>
          <w:lang w:val="en-US" w:eastAsia="ja-JP"/>
        </w:rPr>
        <w:t xml:space="preserve">previously submitted </w:t>
      </w:r>
      <w:proofErr w:type="spellStart"/>
      <w:r w:rsidR="008925E5">
        <w:rPr>
          <w:lang w:val="en-US" w:eastAsia="ja-JP"/>
        </w:rPr>
        <w:t>pCR</w:t>
      </w:r>
      <w:proofErr w:type="spellEnd"/>
      <w:r w:rsidR="008925E5">
        <w:rPr>
          <w:lang w:val="en-US" w:eastAsia="ja-JP"/>
        </w:rPr>
        <w:t xml:space="preserve"> [1] in a way that reflects the </w:t>
      </w:r>
      <w:bookmarkStart w:id="0" w:name="_GoBack"/>
      <w:bookmarkEnd w:id="0"/>
      <w:r w:rsidR="008925E5">
        <w:rPr>
          <w:lang w:val="en-US" w:eastAsia="ja-JP"/>
        </w:rPr>
        <w:t xml:space="preserve">agreed outcome of </w:t>
      </w:r>
      <w:r w:rsidR="00025E69">
        <w:rPr>
          <w:lang w:val="en-US" w:eastAsia="ja-JP"/>
        </w:rPr>
        <w:t xml:space="preserve">the </w:t>
      </w:r>
      <w:r>
        <w:rPr>
          <w:lang w:val="en-US" w:eastAsia="ja-JP"/>
        </w:rPr>
        <w:t>above</w:t>
      </w:r>
      <w:r w:rsidR="00025E69">
        <w:rPr>
          <w:lang w:val="en-US" w:eastAsia="ja-JP"/>
        </w:rPr>
        <w:t xml:space="preserve"> discussion</w:t>
      </w:r>
      <w:r w:rsidR="007655F5">
        <w:rPr>
          <w:lang w:val="en-US" w:eastAsia="ja-JP"/>
        </w:rPr>
        <w:t>, for inclusion</w:t>
      </w:r>
      <w:r w:rsidR="007655F5">
        <w:rPr>
          <w:lang w:val="en-US" w:eastAsia="ja-JP"/>
        </w:rPr>
        <w:t xml:space="preserve"> in TR 26.919</w:t>
      </w:r>
      <w:r>
        <w:rPr>
          <w:lang w:val="en-US" w:eastAsia="ja-JP"/>
        </w:rPr>
        <w:t>.</w:t>
      </w:r>
    </w:p>
    <w:p w14:paraId="579A9C03" w14:textId="53C1C377" w:rsidR="00D12BCB" w:rsidRDefault="008925E5" w:rsidP="00D12BCB">
      <w:pPr>
        <w:pStyle w:val="Heading1"/>
      </w:pPr>
      <w:r>
        <w:lastRenderedPageBreak/>
        <w:t>4 References</w:t>
      </w:r>
    </w:p>
    <w:p w14:paraId="615FFA93" w14:textId="77777777" w:rsidR="00D12BCB" w:rsidRDefault="00D12BCB" w:rsidP="00D12BCB">
      <w:pPr>
        <w:rPr>
          <w:lang w:val="en-US" w:eastAsia="ja-JP"/>
        </w:rPr>
      </w:pPr>
    </w:p>
    <w:p w14:paraId="01EFFFF1" w14:textId="0777CFFD" w:rsidR="005362A2" w:rsidRPr="00EC2521" w:rsidRDefault="005362A2" w:rsidP="005362A2">
      <w:pPr>
        <w:rPr>
          <w:lang w:val="en-US" w:eastAsia="ja-JP"/>
        </w:rPr>
      </w:pPr>
      <w:r w:rsidRPr="00EC2521">
        <w:rPr>
          <w:lang w:val="en-US" w:eastAsia="ja-JP"/>
        </w:rPr>
        <w:t xml:space="preserve">[1] </w:t>
      </w:r>
      <w:r>
        <w:rPr>
          <w:lang w:val="en-US" w:eastAsia="ja-JP"/>
        </w:rPr>
        <w:t xml:space="preserve">S4-171280 </w:t>
      </w:r>
      <w:proofErr w:type="spellStart"/>
      <w:r>
        <w:rPr>
          <w:lang w:val="en-US" w:eastAsia="ja-JP"/>
        </w:rPr>
        <w:t>pCR</w:t>
      </w:r>
      <w:proofErr w:type="spellEnd"/>
      <w:r>
        <w:rPr>
          <w:lang w:val="en-US" w:eastAsia="ja-JP"/>
        </w:rPr>
        <w:t xml:space="preserve"> 26.919 5G MTSI Media Rate Adaptation</w:t>
      </w:r>
      <w:r w:rsidRPr="00EC2521">
        <w:rPr>
          <w:lang w:val="en-US" w:eastAsia="ja-JP"/>
        </w:rPr>
        <w:t xml:space="preserve">: </w:t>
      </w:r>
      <w:hyperlink r:id="rId8" w:history="1">
        <w:r w:rsidRPr="003942FD">
          <w:rPr>
            <w:rStyle w:val="Hyperlink"/>
            <w:rFonts w:eastAsia="Times New Roman" w:cs="Times New Roman"/>
            <w:kern w:val="0"/>
            <w:lang w:val="en-GB" w:eastAsia="en-US"/>
          </w:rPr>
          <w:t>http://www.3gpp.org/ftp/tsg_sa/WG4_CODEC/TSGS4_96/Docs/S4-171280.zip</w:t>
        </w:r>
      </w:hyperlink>
      <w:r>
        <w:t xml:space="preserve"> </w:t>
      </w:r>
    </w:p>
    <w:p w14:paraId="2E36C250" w14:textId="510AD32B" w:rsidR="00025E69" w:rsidRPr="00EC2521" w:rsidRDefault="00025E69" w:rsidP="00025E69">
      <w:pPr>
        <w:rPr>
          <w:lang w:val="en-US" w:eastAsia="ja-JP"/>
        </w:rPr>
      </w:pPr>
      <w:r>
        <w:rPr>
          <w:lang w:val="en-US" w:eastAsia="ja-JP"/>
        </w:rPr>
        <w:t>[2</w:t>
      </w:r>
      <w:r w:rsidRPr="00EC2521">
        <w:rPr>
          <w:lang w:val="en-US" w:eastAsia="ja-JP"/>
        </w:rPr>
        <w:t xml:space="preserve">] </w:t>
      </w:r>
      <w:r>
        <w:rPr>
          <w:lang w:val="en-US" w:eastAsia="ja-JP"/>
        </w:rPr>
        <w:t xml:space="preserve">TS 22.261 5G </w:t>
      </w:r>
      <w:r w:rsidRPr="00025E69">
        <w:rPr>
          <w:lang w:val="en-US" w:eastAsia="ja-JP"/>
        </w:rPr>
        <w:t>Service requirements for next generation new services and markets</w:t>
      </w:r>
      <w:r w:rsidRPr="00EC2521">
        <w:rPr>
          <w:lang w:val="en-US" w:eastAsia="ja-JP"/>
        </w:rPr>
        <w:t xml:space="preserve">: </w:t>
      </w:r>
      <w:hyperlink r:id="rId9" w:history="1">
        <w:r w:rsidRPr="003942FD">
          <w:rPr>
            <w:rStyle w:val="Hyperlink"/>
            <w:rFonts w:eastAsia="Times New Roman" w:cs="Times New Roman"/>
            <w:kern w:val="0"/>
            <w:lang w:val="en-GB" w:eastAsia="en-US"/>
          </w:rPr>
          <w:t>http://www.3gpp.org/DynaReport/22261.htm</w:t>
        </w:r>
      </w:hyperlink>
      <w:r>
        <w:t xml:space="preserve"> </w:t>
      </w:r>
    </w:p>
    <w:p w14:paraId="146F0EAC" w14:textId="77777777" w:rsidR="005E5DE7" w:rsidRPr="00D12BCB" w:rsidRDefault="005E5DE7">
      <w:pPr>
        <w:rPr>
          <w:lang w:val="en-US"/>
        </w:rPr>
      </w:pPr>
    </w:p>
    <w:sectPr w:rsidR="005E5DE7" w:rsidRPr="00D12BCB" w:rsidSect="00D12BCB">
      <w:headerReference w:type="default" r:id="rId10"/>
      <w:footerReference w:type="default" r:id="rId11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D0706" w14:textId="77777777" w:rsidR="00D81D7F" w:rsidRDefault="00D81D7F" w:rsidP="00D12BCB">
      <w:pPr>
        <w:spacing w:before="0" w:after="0" w:line="240" w:lineRule="auto"/>
      </w:pPr>
      <w:r>
        <w:separator/>
      </w:r>
    </w:p>
  </w:endnote>
  <w:endnote w:type="continuationSeparator" w:id="0">
    <w:p w14:paraId="4733410E" w14:textId="77777777" w:rsidR="00D81D7F" w:rsidRDefault="00D81D7F" w:rsidP="00D12BC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0E122" w14:textId="13280561" w:rsidR="00D12BCB" w:rsidRDefault="00D12BCB" w:rsidP="00D12BCB">
    <w:pPr>
      <w:pStyle w:val="Footer"/>
      <w:tabs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833BE0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833BE0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  <w:p w14:paraId="0EE9A621" w14:textId="77777777" w:rsidR="00D12BCB" w:rsidRDefault="00D12B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6EC1F" w14:textId="77777777" w:rsidR="00D81D7F" w:rsidRDefault="00D81D7F" w:rsidP="00D12BCB">
      <w:pPr>
        <w:spacing w:before="0" w:after="0" w:line="240" w:lineRule="auto"/>
      </w:pPr>
      <w:r>
        <w:separator/>
      </w:r>
    </w:p>
  </w:footnote>
  <w:footnote w:type="continuationSeparator" w:id="0">
    <w:p w14:paraId="1CED3A94" w14:textId="77777777" w:rsidR="00D81D7F" w:rsidRDefault="00D81D7F" w:rsidP="00D12BCB">
      <w:pPr>
        <w:spacing w:before="0" w:after="0" w:line="240" w:lineRule="auto"/>
      </w:pPr>
      <w:r>
        <w:continuationSeparator/>
      </w:r>
    </w:p>
  </w:footnote>
  <w:footnote w:id="1">
    <w:p w14:paraId="4D6E0F13" w14:textId="66DE91BA" w:rsidR="005362A2" w:rsidRPr="005362A2" w:rsidRDefault="005362A2">
      <w:pPr>
        <w:pStyle w:val="FootnoteText"/>
        <w:rPr>
          <w:lang w:val="sv-S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v-SE"/>
        </w:rPr>
        <w:t xml:space="preserve">Bo Burman (bo </w:t>
      </w:r>
      <w:proofErr w:type="spellStart"/>
      <w:r>
        <w:rPr>
          <w:lang w:val="sv-SE"/>
        </w:rPr>
        <w:t>dot</w:t>
      </w:r>
      <w:proofErr w:type="spellEnd"/>
      <w:r>
        <w:rPr>
          <w:lang w:val="sv-SE"/>
        </w:rPr>
        <w:t xml:space="preserve"> burman at </w:t>
      </w:r>
      <w:proofErr w:type="spellStart"/>
      <w:r>
        <w:rPr>
          <w:lang w:val="sv-SE"/>
        </w:rPr>
        <w:t>ericsson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dot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com</w:t>
      </w:r>
      <w:proofErr w:type="spellEnd"/>
      <w:r>
        <w:rPr>
          <w:lang w:val="sv-SE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A9065" w14:textId="74B5781C" w:rsidR="00D12BCB" w:rsidRPr="00593205" w:rsidRDefault="00D12BCB" w:rsidP="00D12BCB">
    <w:pPr>
      <w:tabs>
        <w:tab w:val="left" w:pos="3614"/>
        <w:tab w:val="right" w:pos="9352"/>
      </w:tabs>
      <w:spacing w:before="60" w:after="0" w:line="240" w:lineRule="exact"/>
      <w:rPr>
        <w:rFonts w:cs="Arial"/>
        <w:color w:val="000000"/>
        <w:sz w:val="20"/>
      </w:rPr>
    </w:pPr>
    <w:r>
      <w:rPr>
        <w:rFonts w:cs="Arial"/>
        <w:sz w:val="20"/>
      </w:rPr>
      <w:t>3GPP TSG-SA4 Meeting #97</w:t>
    </w:r>
    <w:r>
      <w:rPr>
        <w:rFonts w:cs="Arial"/>
        <w:color w:val="000000"/>
        <w:sz w:val="20"/>
      </w:rPr>
      <w:tab/>
    </w:r>
    <w:r>
      <w:rPr>
        <w:rFonts w:cs="Arial"/>
        <w:color w:val="000000"/>
        <w:sz w:val="20"/>
      </w:rPr>
      <w:tab/>
    </w:r>
    <w:proofErr w:type="spellStart"/>
    <w:r w:rsidRPr="00243170">
      <w:rPr>
        <w:b/>
        <w:i/>
        <w:sz w:val="32"/>
      </w:rPr>
      <w:t>Tdoc</w:t>
    </w:r>
    <w:proofErr w:type="spellEnd"/>
    <w:r w:rsidRPr="00243170">
      <w:rPr>
        <w:b/>
        <w:i/>
        <w:sz w:val="32"/>
      </w:rPr>
      <w:t xml:space="preserve"> </w:t>
    </w:r>
    <w:r>
      <w:rPr>
        <w:rFonts w:cs="Arial"/>
        <w:b/>
        <w:i/>
        <w:sz w:val="32"/>
        <w:szCs w:val="32"/>
      </w:rPr>
      <w:t>S4-180</w:t>
    </w:r>
    <w:r w:rsidR="005362A2">
      <w:rPr>
        <w:rFonts w:cs="Arial"/>
        <w:b/>
        <w:i/>
        <w:sz w:val="32"/>
        <w:szCs w:val="32"/>
      </w:rPr>
      <w:t>104</w:t>
    </w:r>
  </w:p>
  <w:p w14:paraId="3E324929" w14:textId="77777777" w:rsidR="00D12BCB" w:rsidRDefault="00D12BCB" w:rsidP="00D12BCB">
    <w:pPr>
      <w:spacing w:after="0" w:line="240" w:lineRule="auto"/>
      <w:rPr>
        <w:rFonts w:cs="Arial"/>
        <w:color w:val="000000"/>
        <w:sz w:val="20"/>
      </w:rPr>
    </w:pPr>
    <w:r>
      <w:rPr>
        <w:rFonts w:cs="Arial"/>
        <w:color w:val="000000"/>
        <w:sz w:val="20"/>
      </w:rPr>
      <w:t>Fukuoka, Japan, 5-9 February 2018</w:t>
    </w:r>
  </w:p>
  <w:p w14:paraId="2A2D74E6" w14:textId="77777777" w:rsidR="00D12BCB" w:rsidRDefault="00D12B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517A7"/>
    <w:multiLevelType w:val="hybridMultilevel"/>
    <w:tmpl w:val="83F60A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E9E"/>
    <w:multiLevelType w:val="hybridMultilevel"/>
    <w:tmpl w:val="EC16BB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DE7"/>
    <w:rsid w:val="00025E69"/>
    <w:rsid w:val="000B7A2D"/>
    <w:rsid w:val="00187EE6"/>
    <w:rsid w:val="00262C99"/>
    <w:rsid w:val="002C5636"/>
    <w:rsid w:val="003B1D16"/>
    <w:rsid w:val="00424B92"/>
    <w:rsid w:val="005362A2"/>
    <w:rsid w:val="005E5DE7"/>
    <w:rsid w:val="00705A98"/>
    <w:rsid w:val="007655F5"/>
    <w:rsid w:val="007D2F4E"/>
    <w:rsid w:val="007F0F9F"/>
    <w:rsid w:val="00833BE0"/>
    <w:rsid w:val="00856182"/>
    <w:rsid w:val="008925E5"/>
    <w:rsid w:val="008D0AB4"/>
    <w:rsid w:val="008E3CF7"/>
    <w:rsid w:val="00AB3293"/>
    <w:rsid w:val="00B31A8C"/>
    <w:rsid w:val="00D12BCB"/>
    <w:rsid w:val="00D81D7F"/>
    <w:rsid w:val="00E07B93"/>
    <w:rsid w:val="00E2108F"/>
    <w:rsid w:val="00E30328"/>
    <w:rsid w:val="00E8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EC1321"/>
  <w15:chartTrackingRefBased/>
  <w15:docId w15:val="{AA5F14A4-62EB-4F6D-84C1-B1D96899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2BCB"/>
    <w:pPr>
      <w:widowControl w:val="0"/>
      <w:spacing w:before="40" w:after="120" w:line="240" w:lineRule="atLeast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Heading4"/>
    <w:next w:val="Normal"/>
    <w:link w:val="Heading1Char"/>
    <w:uiPriority w:val="9"/>
    <w:qFormat/>
    <w:rsid w:val="00D12BCB"/>
    <w:pPr>
      <w:keepLines w:val="0"/>
      <w:tabs>
        <w:tab w:val="left" w:pos="851"/>
        <w:tab w:val="left" w:pos="1418"/>
        <w:tab w:val="left" w:pos="2127"/>
        <w:tab w:val="right" w:pos="8820"/>
      </w:tabs>
      <w:spacing w:before="480"/>
      <w:ind w:left="2268" w:hanging="2268"/>
      <w:outlineLvl w:val="0"/>
    </w:pPr>
    <w:rPr>
      <w:rFonts w:ascii="Arial" w:eastAsia="Batang" w:hAnsi="Arial" w:cs="Times New Roman"/>
      <w:b/>
      <w:i w:val="0"/>
      <w:iCs w:val="0"/>
      <w:color w:val="auto"/>
      <w:sz w:val="32"/>
      <w:lang w:val="en-US"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BCB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2BCB"/>
    <w:pPr>
      <w:widowControl/>
      <w:tabs>
        <w:tab w:val="center" w:pos="4703"/>
        <w:tab w:val="right" w:pos="9406"/>
      </w:tabs>
      <w:spacing w:before="0" w:after="0"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D12BCB"/>
  </w:style>
  <w:style w:type="paragraph" w:styleId="Footer">
    <w:name w:val="footer"/>
    <w:basedOn w:val="Normal"/>
    <w:link w:val="FooterChar"/>
    <w:unhideWhenUsed/>
    <w:rsid w:val="00D12BCB"/>
    <w:pPr>
      <w:widowControl/>
      <w:tabs>
        <w:tab w:val="center" w:pos="4703"/>
        <w:tab w:val="right" w:pos="9406"/>
      </w:tabs>
      <w:spacing w:before="0" w:after="0"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12BCB"/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D12BCB"/>
    <w:rPr>
      <w:rFonts w:ascii="Arial" w:eastAsia="Batang" w:hAnsi="Arial" w:cs="Times New Roman"/>
      <w:b/>
      <w:sz w:val="32"/>
      <w:szCs w:val="20"/>
      <w:lang w:eastAsia="ja-JP"/>
    </w:rPr>
  </w:style>
  <w:style w:type="character" w:styleId="Hyperlink">
    <w:name w:val="Hyperlink"/>
    <w:uiPriority w:val="99"/>
    <w:rsid w:val="00D12BCB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2BCB"/>
    <w:rPr>
      <w:rFonts w:asciiTheme="majorHAnsi" w:eastAsiaTheme="majorEastAsia" w:hAnsiTheme="majorHAnsi" w:cstheme="majorBidi"/>
      <w:i/>
      <w:iCs/>
      <w:color w:val="2F5496" w:themeColor="accent1" w:themeShade="BF"/>
      <w:szCs w:val="20"/>
      <w:lang w:val="en-GB"/>
    </w:rPr>
  </w:style>
  <w:style w:type="character" w:styleId="PageNumber">
    <w:name w:val="page number"/>
    <w:basedOn w:val="DefaultParagraphFont"/>
    <w:rsid w:val="00D12BCB"/>
  </w:style>
  <w:style w:type="character" w:styleId="UnresolvedMention">
    <w:name w:val="Unresolved Mention"/>
    <w:basedOn w:val="DefaultParagraphFont"/>
    <w:uiPriority w:val="99"/>
    <w:semiHidden/>
    <w:unhideWhenUsed/>
    <w:rsid w:val="008E3CF7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62A2"/>
    <w:pPr>
      <w:spacing w:before="0"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62A2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5362A2"/>
    <w:rPr>
      <w:vertAlign w:val="superscript"/>
    </w:rPr>
  </w:style>
  <w:style w:type="paragraph" w:styleId="ListParagraph">
    <w:name w:val="List Paragraph"/>
    <w:basedOn w:val="Normal"/>
    <w:uiPriority w:val="34"/>
    <w:qFormat/>
    <w:rsid w:val="000B7A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4_CODEC/TSGS4_96/Docs/S4-171280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DynaReport/2226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FE9C4-33BE-4056-A405-880BE70EF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Burman</dc:creator>
  <cp:keywords/>
  <dc:description/>
  <cp:lastModifiedBy>Bo Burman</cp:lastModifiedBy>
  <cp:revision>8</cp:revision>
  <dcterms:created xsi:type="dcterms:W3CDTF">2018-01-30T00:21:00Z</dcterms:created>
  <dcterms:modified xsi:type="dcterms:W3CDTF">2018-02-02T09:58:00Z</dcterms:modified>
</cp:coreProperties>
</file>